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20</w:t>
      </w:r>
      <w:r>
        <w:rPr>
          <w:rFonts w:ascii="Arial" w:hAnsi="Arial" w:cs="Arial"/>
          <w:b/>
          <w:sz w:val="22"/>
          <w:szCs w:val="22"/>
        </w:rPr>
        <w:tab/>
      </w:r>
      <w:bookmarkStart w:id="7" w:name="_GoBack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0489</w:t>
      </w:r>
      <w:bookmarkEnd w:id="7"/>
    </w:p>
    <w:p>
      <w:pPr>
        <w:pStyle w:val="62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  <w:highlight w:val="green"/>
              </w:rPr>
              <w:t>Draft</w:t>
            </w:r>
            <w:r>
              <w:rPr>
                <w:rFonts w:hint="eastAsia" w:eastAsia="宋体"/>
                <w:b/>
                <w:sz w:val="32"/>
                <w:highlight w:val="green"/>
                <w:lang w:val="en-US"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draft-CR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Living CR for</w:t>
            </w:r>
            <w:r>
              <w:rPr>
                <w:rFonts w:hint="eastAsia" w:eastAsia="宋体"/>
                <w:lang w:val="en-US" w:eastAsia="zh-CN"/>
              </w:rPr>
              <w:t xml:space="preserve"> security for PLMN hosting a NPN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Telecom, 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1060067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 xml:space="preserve">Skeleton for how the work on the </w:t>
            </w:r>
            <w:r>
              <w:rPr>
                <w:rFonts w:hint="eastAsia" w:eastAsia="宋体"/>
                <w:lang w:val="en-US" w:eastAsia="zh-CN"/>
              </w:rPr>
              <w:t>security for PLMN hosting a NPN</w:t>
            </w:r>
            <w:r>
              <w:rPr>
                <w:rFonts w:hint="eastAsia"/>
              </w:rPr>
              <w:t xml:space="preserve"> study can be </w:t>
            </w:r>
            <w:r>
              <w:t>implemented</w:t>
            </w:r>
            <w:r>
              <w:rPr>
                <w:rFonts w:hint="eastAsia"/>
              </w:rPr>
              <w:t xml:space="preserve"> in TS 33.501.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This draft CR is intended to compile a list of recommendations</w:t>
            </w:r>
            <w:r>
              <w:rPr>
                <w:rFonts w:hint="eastAsia"/>
              </w:rPr>
              <w:t>, based on the conclusions in TR 33.757, on how to secure the border between PLMN and host</w:t>
            </w:r>
            <w:r>
              <w:rPr>
                <w:rFonts w:hint="eastAsia" w:eastAsia="宋体"/>
                <w:lang w:val="en-US" w:eastAsia="zh-CN"/>
              </w:rPr>
              <w:t>ed</w:t>
            </w:r>
            <w:r>
              <w:rPr>
                <w:rFonts w:hint="eastAsia"/>
              </w:rPr>
              <w:t xml:space="preserve"> NPN when dedicated NFs interacting with PLMN through SBA interface.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11"/>
        <w:rPr>
          <w:rFonts w:hint="default" w:eastAsia="宋体"/>
          <w:lang w:val="en-US" w:eastAsia="zh-CN"/>
        </w:rPr>
      </w:pPr>
      <w:r>
        <w:t xml:space="preserve">Annex </w:t>
      </w:r>
      <w:r>
        <w:rPr>
          <w:rFonts w:hint="eastAsia" w:eastAsia="宋体"/>
          <w:lang w:val="en-US" w:eastAsia="zh-CN"/>
        </w:rPr>
        <w:t>XX</w:t>
      </w:r>
      <w:r>
        <w:t xml:space="preserve"> (Informative): </w:t>
      </w:r>
      <w:r>
        <w:rPr>
          <w:rFonts w:hint="eastAsia" w:eastAsia="宋体"/>
          <w:lang w:val="en-US" w:eastAsia="zh-CN"/>
        </w:rPr>
        <w:t>Security for PLMN hosting a NPN through SBA interface</w:t>
      </w:r>
    </w:p>
    <w:p>
      <w:pPr>
        <w:pStyle w:val="3"/>
        <w:rPr>
          <w:lang w:eastAsia="zh-CN"/>
        </w:rPr>
      </w:pPr>
      <w:bookmarkStart w:id="1" w:name="_Toc122096528"/>
      <w:bookmarkStart w:id="2" w:name="_Toc44943940"/>
      <w:bookmarkStart w:id="3" w:name="_Toc532211226"/>
      <w:r>
        <w:rPr>
          <w:rFonts w:hint="eastAsia"/>
          <w:lang w:val="en-US" w:eastAsia="zh-CN"/>
        </w:rPr>
        <w:t>XX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bookmarkEnd w:id="1"/>
      <w:bookmarkEnd w:id="2"/>
      <w:bookmarkEnd w:id="3"/>
      <w:r>
        <w:t>General</w:t>
      </w:r>
    </w:p>
    <w:p>
      <w:pPr>
        <w:pStyle w:val="121"/>
        <w:rPr>
          <w:rFonts w:hint="eastAsia" w:eastAsia="宋体"/>
          <w:lang w:val="en-US" w:eastAsia="zh-CN"/>
        </w:rPr>
      </w:pPr>
      <w:bookmarkStart w:id="4" w:name="_Toc122096529"/>
      <w:bookmarkStart w:id="5" w:name="_Toc44943941"/>
      <w:bookmarkStart w:id="6" w:name="_Toc532211227"/>
      <w:r>
        <w:rPr>
          <w:lang w:val="en-US"/>
        </w:rPr>
        <w:t xml:space="preserve">Editor's Note: This clause </w:t>
      </w:r>
      <w:r>
        <w:rPr>
          <w:rFonts w:hint="eastAsia" w:eastAsia="宋体"/>
          <w:lang w:val="en-US" w:eastAsia="zh-CN"/>
        </w:rPr>
        <w:t xml:space="preserve">provides general description and security assumption for 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PLMN hosting a NPN.</w:t>
      </w:r>
    </w:p>
    <w:p>
      <w:pPr>
        <w:pStyle w:val="3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XX</w:t>
      </w:r>
      <w:r>
        <w:t>.2</w:t>
      </w:r>
      <w:r>
        <w:tab/>
      </w:r>
      <w:r>
        <w:rPr>
          <w:rFonts w:hint="eastAsia" w:eastAsia="宋体"/>
          <w:lang w:val="en-US" w:eastAsia="zh-CN"/>
        </w:rPr>
        <w:t>Architecture</w:t>
      </w:r>
    </w:p>
    <w:p>
      <w:pPr>
        <w:pStyle w:val="121"/>
        <w:rPr>
          <w:rFonts w:hint="eastAsia" w:eastAsia="宋体"/>
          <w:lang w:val="en-US" w:eastAsia="zh-CN"/>
        </w:rPr>
      </w:pPr>
      <w:r>
        <w:rPr>
          <w:lang w:val="en-US"/>
        </w:rPr>
        <w:t xml:space="preserve">Editor's Note: This clause describes </w:t>
      </w:r>
      <w:r>
        <w:rPr>
          <w:rFonts w:hint="eastAsia" w:eastAsia="宋体"/>
          <w:lang w:val="en-US" w:eastAsia="zh-CN"/>
        </w:rPr>
        <w:t xml:space="preserve">the scenario where </w:t>
      </w:r>
      <w:r>
        <w:rPr>
          <w:rFonts w:hint="eastAsia"/>
        </w:rPr>
        <w:t>dedicated NFs interacting with PLMN through SBA interface</w:t>
      </w:r>
      <w:r>
        <w:rPr>
          <w:rFonts w:hint="eastAsia" w:ascii="Times New Roman" w:hAnsi="Times New Roman" w:eastAsia="Times New Roman" w:cs="Times New Roman"/>
          <w:lang w:val="en-US" w:eastAsia="zh-CN"/>
        </w:rPr>
        <w:t>.</w:t>
      </w:r>
    </w:p>
    <w:p>
      <w:pPr>
        <w:pStyle w:val="3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XX</w:t>
      </w:r>
      <w:r>
        <w:t>.</w:t>
      </w:r>
      <w:r>
        <w:rPr>
          <w:rFonts w:hint="eastAsia" w:eastAsia="宋体"/>
          <w:lang w:val="en-US" w:eastAsia="zh-CN"/>
        </w:rPr>
        <w:t>3</w:t>
      </w:r>
      <w:r>
        <w:tab/>
      </w:r>
      <w:bookmarkEnd w:id="4"/>
      <w:bookmarkEnd w:id="5"/>
      <w:bookmarkEnd w:id="6"/>
      <w:r>
        <w:rPr>
          <w:rFonts w:hint="eastAsia" w:eastAsia="宋体"/>
          <w:lang w:val="en-US" w:eastAsia="zh-CN"/>
        </w:rPr>
        <w:t>Proxy entity at the border</w:t>
      </w:r>
    </w:p>
    <w:p>
      <w:pPr>
        <w:pStyle w:val="121"/>
        <w:rPr>
          <w:rFonts w:hint="default" w:eastAsia="宋体"/>
          <w:lang w:val="en-US" w:eastAsia="zh-CN"/>
        </w:rPr>
      </w:pPr>
      <w:r>
        <w:rPr>
          <w:lang w:val="en-US"/>
        </w:rPr>
        <w:t xml:space="preserve">Editor's Note: This clause describes </w:t>
      </w:r>
      <w:r>
        <w:rPr>
          <w:rFonts w:ascii="Times New Roman" w:hAnsi="Times New Roman"/>
        </w:rPr>
        <w:t>the recommended security capabilities</w:t>
      </w:r>
      <w:r>
        <w:rPr>
          <w:rFonts w:hint="eastAsia" w:ascii="Times New Roman" w:hAnsi="Times New Roman" w:eastAsia="宋体"/>
          <w:lang w:val="en-US" w:eastAsia="zh-CN"/>
        </w:rPr>
        <w:t xml:space="preserve"> and </w:t>
      </w:r>
      <w:r>
        <w:rPr>
          <w:rFonts w:ascii="Times New Roman" w:hAnsi="Times New Roman"/>
        </w:rPr>
        <w:t>routing functionalities</w:t>
      </w:r>
      <w:r>
        <w:rPr>
          <w:rFonts w:hint="eastAsia" w:ascii="Times New Roman" w:hAnsi="Times New Roman" w:eastAsia="宋体"/>
          <w:lang w:val="en-US" w:eastAsia="zh-CN"/>
        </w:rPr>
        <w:t xml:space="preserve"> of the proxy entity at the border between </w:t>
      </w:r>
      <w:r>
        <w:rPr>
          <w:rFonts w:hint="eastAsia" w:ascii="Times New Roman" w:hAnsi="Times New Roman" w:eastAsia="Times New Roman" w:cs="Times New Roman"/>
          <w:lang w:val="en-US" w:eastAsia="zh-CN"/>
        </w:rPr>
        <w:t>PLMN and PNI-NPN operational domains.</w:t>
      </w:r>
    </w:p>
    <w:p>
      <w:pPr>
        <w:pStyle w:val="3"/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XX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4</w:t>
      </w:r>
      <w:r>
        <w:rPr>
          <w:lang w:val="en-US"/>
        </w:rPr>
        <w:tab/>
      </w:r>
      <w:r>
        <w:rPr>
          <w:rFonts w:hint="eastAsia" w:eastAsia="宋体"/>
          <w:lang w:val="en-US" w:eastAsia="zh-CN"/>
        </w:rPr>
        <w:t xml:space="preserve">Security for </w:t>
      </w:r>
      <w:r>
        <w:rPr>
          <w:rFonts w:hint="eastAsia"/>
          <w:color w:val="000000"/>
          <w:lang w:val="en-US" w:eastAsia="zh-CN"/>
        </w:rPr>
        <w:t>DNS messages crossing the border</w:t>
      </w:r>
    </w:p>
    <w:p>
      <w:pPr>
        <w:pStyle w:val="121"/>
        <w:rPr>
          <w:rFonts w:hint="default" w:eastAsia="宋体"/>
          <w:lang w:val="en-US" w:eastAsia="zh-CN"/>
        </w:rPr>
      </w:pPr>
      <w:r>
        <w:rPr>
          <w:lang w:val="en-US"/>
        </w:rPr>
        <w:t xml:space="preserve">Editor's Note: This clause describes 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  <w:lang w:val="en-US"/>
        </w:rPr>
        <w:t>ecurity for DNS messages crossing the border</w:t>
      </w:r>
      <w:r>
        <w:rPr>
          <w:rFonts w:hint="eastAsia" w:ascii="Times New Roman" w:hAnsi="Times New Roman" w:eastAsia="宋体"/>
          <w:lang w:val="en-US" w:eastAsia="zh-CN"/>
        </w:rPr>
        <w:t xml:space="preserve"> between </w:t>
      </w:r>
      <w:r>
        <w:rPr>
          <w:rFonts w:hint="eastAsia" w:ascii="Times New Roman" w:hAnsi="Times New Roman" w:eastAsia="Times New Roman" w:cs="Times New Roman"/>
          <w:lang w:val="en-US" w:eastAsia="zh-CN"/>
        </w:rPr>
        <w:t>PLMN and PNI-NPN operational domains.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B6386"/>
    <w:rsid w:val="0C362820"/>
    <w:rsid w:val="17310DD7"/>
    <w:rsid w:val="29265862"/>
    <w:rsid w:val="2E6D7115"/>
    <w:rsid w:val="39A91D64"/>
    <w:rsid w:val="3ECC23AD"/>
    <w:rsid w:val="4D52338B"/>
    <w:rsid w:val="576A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1638</Characters>
  <Lines>13</Lines>
  <Paragraphs>3</Paragraphs>
  <TotalTime>14</TotalTime>
  <ScaleCrop>false</ScaleCrop>
  <LinksUpToDate>false</LinksUpToDate>
  <CharactersWithSpaces>1820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Telecom</cp:lastModifiedBy>
  <cp:lastPrinted>2411-12-31T23:00:00Z</cp:lastPrinted>
  <dcterms:modified xsi:type="dcterms:W3CDTF">2025-02-10T03:38:32Z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2052-12.8.2.15091</vt:lpwstr>
  </property>
  <property fmtid="{D5CDD505-2E9C-101B-9397-08002B2CF9AE}" pid="22" name="ICV">
    <vt:lpwstr>173B3069DFA24EAFABEB2C9FDC3A4F3A_13</vt:lpwstr>
  </property>
</Properties>
</file>